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001BCF" w:rsidRDefault="00A007BF" w:rsidP="00123085">
      <w:pPr>
        <w:jc w:val="both"/>
        <w:rPr>
          <w:rStyle w:val="BLOCKBOLD"/>
          <w:rFonts w:ascii="Calibri" w:hAnsi="Calibri"/>
        </w:rPr>
      </w:pPr>
      <w:r w:rsidRPr="00B63B3E">
        <w:rPr>
          <w:rStyle w:val="BLOCKBOLD"/>
          <w:rFonts w:ascii="Calibri" w:hAnsi="Calibri"/>
        </w:rPr>
        <w:t>Procedura negoziata previa indagine di mercato/consultazione di elenco operatori ai sensi dell’art. 36 co. 2 lett. b) D.lgs. 50/2016 per</w:t>
      </w:r>
      <w:r w:rsidR="00001BCF" w:rsidRPr="00B63B3E">
        <w:rPr>
          <w:rStyle w:val="BLOCKBOLD"/>
          <w:rFonts w:ascii="Calibri" w:hAnsi="Calibri"/>
        </w:rPr>
        <w:t xml:space="preserve"> </w:t>
      </w:r>
      <w:r w:rsidRPr="00B63B3E">
        <w:rPr>
          <w:rStyle w:val="BLOCKBOLD"/>
          <w:rFonts w:ascii="Calibri" w:hAnsi="Calibri"/>
        </w:rPr>
        <w:t xml:space="preserve">  </w:t>
      </w:r>
      <w:r w:rsidR="00001BCF" w:rsidRPr="00B63B3E">
        <w:rPr>
          <w:rStyle w:val="BLOCKBOLD"/>
          <w:rFonts w:ascii="Calibri" w:hAnsi="Calibri"/>
        </w:rPr>
        <w:t xml:space="preserve">l’Acquisizione di Subscription Autodesk per Sogei, Agenzia delle Entrate e Agenzia delle Dogane e dei Monopoli – Iniz. 43/2017 – RDA 49532 – RDO </w:t>
      </w:r>
      <w:r w:rsidR="00B63B3E" w:rsidRPr="00B63B3E">
        <w:rPr>
          <w:rStyle w:val="BLOCKBOLD"/>
          <w:rFonts w:ascii="Calibri" w:hAnsi="Calibri"/>
        </w:rPr>
        <w:t>2479719</w:t>
      </w:r>
      <w:r w:rsidR="00B63B3E">
        <w:rPr>
          <w:rStyle w:val="BLOCKBOLD"/>
          <w:rFonts w:ascii="Calibri" w:hAnsi="Calibri"/>
        </w:rPr>
        <w:t xml:space="preserve"> </w:t>
      </w:r>
      <w:r w:rsidR="00001BCF" w:rsidRPr="00B63B3E">
        <w:rPr>
          <w:rStyle w:val="BLOCKBOLD"/>
          <w:rFonts w:ascii="Calibri" w:hAnsi="Calibri"/>
        </w:rPr>
        <w:t xml:space="preserve">– CIG </w:t>
      </w:r>
      <w:r w:rsidR="00B63B3E" w:rsidRPr="00B63B3E">
        <w:rPr>
          <w:rStyle w:val="BLOCKBOLD"/>
          <w:rFonts w:ascii="Calibri" w:hAnsi="Calibri"/>
        </w:rPr>
        <w:t>81502620F9</w:t>
      </w:r>
      <w:r w:rsidR="00001BCF" w:rsidRPr="00B63B3E">
        <w:rPr>
          <w:rStyle w:val="BLOCKBOLD"/>
          <w:rFonts w:ascii="Calibri" w:hAnsi="Calibri"/>
        </w:rPr>
        <w:t>.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r w:rsidR="00001BC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01BC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01BC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01BC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01BC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01BC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01BC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01BC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01BC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="00001BC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lastRenderedPageBreak/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o accertate con sentenza passata in giudicato come di seguito elencato:</w:t>
      </w:r>
      <w:r w:rsidR="00001BCF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="00001BCF">
        <w:rPr>
          <w:rFonts w:ascii="Calibri" w:eastAsia="Times New Roman" w:hAnsi="Calibri" w:cs="Calibri"/>
          <w:sz w:val="20"/>
          <w:szCs w:val="20"/>
          <w:lang w:eastAsia="ar-SA"/>
        </w:rPr>
        <w:t>_______________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  <w:bookmarkStart w:id="0" w:name="_GoBack"/>
      <w:bookmarkEnd w:id="0"/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1BCF" w:rsidRDefault="00001BC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</w:p>
  <w:p w:rsidR="009B6E69" w:rsidRPr="00B63B3E" w:rsidRDefault="00001BC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B63B3E">
      <w:rPr>
        <w:rFonts w:ascii="Calibri" w:hAnsi="Calibri"/>
        <w:sz w:val="18"/>
        <w:szCs w:val="18"/>
      </w:rPr>
      <w:t xml:space="preserve">Procedura negoziata ai sensi dell’art. 36 co. 2 </w:t>
    </w:r>
    <w:proofErr w:type="spellStart"/>
    <w:r w:rsidRPr="00B63B3E">
      <w:rPr>
        <w:rFonts w:ascii="Calibri" w:hAnsi="Calibri"/>
        <w:sz w:val="18"/>
        <w:szCs w:val="18"/>
      </w:rPr>
      <w:t>lett</w:t>
    </w:r>
    <w:proofErr w:type="spellEnd"/>
    <w:r w:rsidRPr="00B63B3E">
      <w:rPr>
        <w:rFonts w:ascii="Calibri" w:hAnsi="Calibri"/>
        <w:sz w:val="18"/>
        <w:szCs w:val="18"/>
      </w:rPr>
      <w:t xml:space="preserve">. b) e co. 6 D.lgs. 50/2016 per l’Acquisizione di Subscription Autodesk per </w:t>
    </w:r>
    <w:proofErr w:type="spellStart"/>
    <w:r w:rsidRPr="00B63B3E">
      <w:rPr>
        <w:rFonts w:ascii="Calibri" w:hAnsi="Calibri"/>
        <w:sz w:val="18"/>
        <w:szCs w:val="18"/>
      </w:rPr>
      <w:t>Sogei</w:t>
    </w:r>
    <w:proofErr w:type="spellEnd"/>
    <w:r w:rsidRPr="00B63B3E">
      <w:rPr>
        <w:rFonts w:ascii="Calibri" w:hAnsi="Calibri"/>
        <w:sz w:val="18"/>
        <w:szCs w:val="18"/>
      </w:rPr>
      <w:t xml:space="preserve">, Agenzia delle Entrate e Agenzia delle Dogane e dei Monopoli – </w:t>
    </w:r>
    <w:proofErr w:type="spellStart"/>
    <w:r w:rsidRPr="00B63B3E">
      <w:rPr>
        <w:rFonts w:ascii="Calibri" w:hAnsi="Calibri"/>
        <w:sz w:val="18"/>
        <w:szCs w:val="18"/>
      </w:rPr>
      <w:t>Iniz</w:t>
    </w:r>
    <w:proofErr w:type="spellEnd"/>
    <w:r w:rsidRPr="00B63B3E">
      <w:rPr>
        <w:rFonts w:ascii="Calibri" w:hAnsi="Calibri"/>
        <w:sz w:val="18"/>
        <w:szCs w:val="18"/>
      </w:rPr>
      <w:t xml:space="preserve">. 43/2017 – RDA 49532 – RDO </w:t>
    </w:r>
    <w:proofErr w:type="gramStart"/>
    <w:r w:rsidR="00B63B3E" w:rsidRPr="00B63B3E">
      <w:rPr>
        <w:rFonts w:ascii="Calibri" w:hAnsi="Calibri"/>
        <w:sz w:val="18"/>
        <w:szCs w:val="18"/>
      </w:rPr>
      <w:t xml:space="preserve">2479719 </w:t>
    </w:r>
    <w:r w:rsidRPr="00B63B3E">
      <w:rPr>
        <w:rFonts w:ascii="Calibri" w:hAnsi="Calibri"/>
        <w:sz w:val="18"/>
        <w:szCs w:val="18"/>
      </w:rPr>
      <w:t xml:space="preserve"> –</w:t>
    </w:r>
    <w:proofErr w:type="gramEnd"/>
    <w:r w:rsidRPr="00B63B3E">
      <w:rPr>
        <w:rFonts w:ascii="Calibri" w:hAnsi="Calibri"/>
        <w:sz w:val="18"/>
        <w:szCs w:val="18"/>
      </w:rPr>
      <w:t xml:space="preserve"> CIG </w:t>
    </w:r>
    <w:r w:rsidR="00B63B3E" w:rsidRPr="00B63B3E">
      <w:rPr>
        <w:rFonts w:ascii="Calibri" w:hAnsi="Calibri"/>
        <w:sz w:val="18"/>
        <w:szCs w:val="18"/>
      </w:rPr>
      <w:t>81502620F9</w:t>
    </w:r>
    <w:r w:rsidRPr="00B63B3E">
      <w:rPr>
        <w:rFonts w:ascii="Calibri" w:hAnsi="Calibri"/>
        <w:sz w:val="18"/>
        <w:szCs w:val="18"/>
      </w:rPr>
      <w:t xml:space="preserve">                 </w:t>
    </w:r>
    <w:r w:rsidR="009B6E69" w:rsidRPr="00B63B3E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B63B3E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1BCF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2C1172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3B3E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531DB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B63B3E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character" w:customStyle="1" w:styleId="CorsivorossoCarattere">
    <w:name w:val="Corsivo rosso Carattere"/>
    <w:link w:val="Corsivorosso"/>
    <w:locked/>
    <w:rsid w:val="00B63B3E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2019-12-19T09:56:00Z</dcterms:modified>
</cp:coreProperties>
</file>